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ascii="Times New Roman" w:hAnsi="Times New Roman" w:eastAsia="方正黑体_GBK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auto"/>
          <w:sz w:val="32"/>
          <w:szCs w:val="32"/>
        </w:rPr>
        <w:t>附件1</w:t>
      </w:r>
    </w:p>
    <w:p>
      <w:pPr>
        <w:snapToGrid w:val="0"/>
        <w:spacing w:before="156" w:beforeLines="50" w:after="156" w:afterLines="50"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2020年重庆市高校辅导员年度人物</w:t>
      </w:r>
      <w:r>
        <w:rPr>
          <w:rFonts w:eastAsia="方正小标宋_GBK"/>
          <w:spacing w:val="-10"/>
          <w:kern w:val="0"/>
          <w:sz w:val="44"/>
          <w:szCs w:val="44"/>
        </w:rPr>
        <w:t>推荐表</w:t>
      </w:r>
    </w:p>
    <w:p>
      <w:pPr>
        <w:snapToGrid w:val="0"/>
        <w:spacing w:line="300" w:lineRule="auto"/>
        <w:jc w:val="righ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                             填表日期：</w:t>
      </w:r>
      <w:r>
        <w:rPr>
          <w:rFonts w:hint="eastAsia" w:eastAsia="仿宋_GB2312"/>
          <w:b/>
          <w:sz w:val="24"/>
          <w:lang w:val="en-US" w:eastAsia="zh-CN"/>
        </w:rPr>
        <w:t>2021</w:t>
      </w:r>
      <w:r>
        <w:rPr>
          <w:rFonts w:eastAsia="仿宋_GB2312"/>
          <w:b/>
          <w:sz w:val="24"/>
        </w:rPr>
        <w:t xml:space="preserve">年 </w:t>
      </w:r>
      <w:r>
        <w:rPr>
          <w:rFonts w:hint="eastAsia" w:eastAsia="仿宋_GB2312"/>
          <w:b/>
          <w:sz w:val="24"/>
          <w:lang w:val="en-US" w:eastAsia="zh-CN"/>
        </w:rPr>
        <w:t>4</w:t>
      </w:r>
      <w:r>
        <w:rPr>
          <w:rFonts w:eastAsia="仿宋_GB2312"/>
          <w:b/>
          <w:sz w:val="24"/>
        </w:rPr>
        <w:t xml:space="preserve">月 </w:t>
      </w:r>
      <w:r>
        <w:rPr>
          <w:rFonts w:hint="eastAsia" w:eastAsia="仿宋_GB2312"/>
          <w:b/>
          <w:sz w:val="24"/>
          <w:lang w:val="en-US" w:eastAsia="zh-CN"/>
        </w:rPr>
        <w:t>15</w:t>
      </w:r>
      <w:r>
        <w:rPr>
          <w:rFonts w:eastAsia="仿宋_GB2312"/>
          <w:b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53"/>
        <w:gridCol w:w="882"/>
        <w:gridCol w:w="1011"/>
        <w:gridCol w:w="87"/>
        <w:gridCol w:w="985"/>
        <w:gridCol w:w="1340"/>
        <w:gridCol w:w="80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陈敏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女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汉族</w:t>
            </w:r>
          </w:p>
        </w:tc>
        <w:tc>
          <w:tcPr>
            <w:tcW w:w="23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drawing>
                <wp:inline distT="0" distB="0" distL="114300" distR="114300">
                  <wp:extent cx="1217295" cy="1504950"/>
                  <wp:effectExtent l="0" t="0" r="1905" b="0"/>
                  <wp:docPr id="1" name="图片 1" descr="2313 - 167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313 - 167K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1979年10月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重庆医科大学</w:t>
            </w:r>
          </w:p>
        </w:tc>
        <w:tc>
          <w:tcPr>
            <w:tcW w:w="23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院系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公共卫生与管理学院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院党委副书记</w:t>
            </w:r>
          </w:p>
        </w:tc>
        <w:tc>
          <w:tcPr>
            <w:tcW w:w="23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中共党员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研究生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硕士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担任辅导员时间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2002年7月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现负责班级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和学生数</w:t>
            </w:r>
          </w:p>
        </w:tc>
        <w:tc>
          <w:tcPr>
            <w:tcW w:w="47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2020级公共事业管理专业、2020级至2017级应用统计学专业，共计5个班、229人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66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15909393635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66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023-65712045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6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281856490@qq.com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66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重庆医科大学缙云校区梅苑1103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66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历届获奖情况</w:t>
            </w:r>
          </w:p>
        </w:tc>
        <w:tc>
          <w:tcPr>
            <w:tcW w:w="844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2006年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荣获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重庆市优秀共青团干部        （共青团重庆市委员会）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2011年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荣获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重庆市高校学生工作优秀论文三等奖 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（重庆市教育委员会）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2011年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荣获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重庆市暑期“三下乡”社会实践先进个人 （共青团重庆市委）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2013年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荣获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第八届“挑战杯”中国大学生创业计划竞赛重庆赛区先进个人（共青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团重庆市委）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2014年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  荣获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重庆市高校辅导员全员培训中级班优秀学员（重庆市教育委员会）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5年  荣获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重庆市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高校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优秀辅导员（重庆市教育委员会）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2015年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荣获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全国青少年井冈山革命传统教育基地总550期培训班暨2015年“井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冈情·中国梦”大学生暑期实践季专项行动（第四期）“优秀带队教师”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（全国青少年井冈山革命传统教育基地管理中心办公室）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2015年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入选重庆市高校辅导员择优资助计划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（重庆市教育委员会）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2018年  荣获第十届全国高校辅导员年度人物入围奖（教育部）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事迹简介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(限300字)</w:t>
            </w:r>
          </w:p>
        </w:tc>
        <w:tc>
          <w:tcPr>
            <w:tcW w:w="844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陈敏，女，中共党员，管理学硕士研究生，现任重庆医科大学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公共卫生与管理学院党委副书记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，担任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2020级公共事业管理专业、2020级至2017级应用统计学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专业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5个班级229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名学生的辅导员。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2002年，陈敏放弃医生成为一名辅导员，至今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年了。在一线辅导员生涯中，她坚持立德树人，用生命影响生命，深入细致的做好学生价值引领和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生涯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辅导，去和一群年轻人共鸣思想、碰撞心灵、交汇生命。同时，参加各类辅导员技能培训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0多余项，取得心理咨询师、生涯规划师资格证，担任2门课程的本科生教学，发表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篇学术论文，参与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本教材编写，主持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厅局级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课题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项，获得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第十届全国高校辅导员年度人物入围奖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”、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“重庆市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高校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优秀辅导员”“、“重庆市优秀共青团干部”等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项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国家及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省部级荣誉。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844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2002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—2004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重庆医科大学2002级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学生工作办公室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团总支书记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2004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3—2004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重庆医科大学第二临床学院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学生工作办公室辅导员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2004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9—2005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重庆医科大学七年制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学生工作办公室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团总支书记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2005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7—2007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重庆医科大学基础医学院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学生工作办公室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团总支书记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2007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7—2009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重庆医科大学学生处留学生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工作办公室工作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2009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7—2010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重庆医科大学学生处工作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2010.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1—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2011.11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重庆医科大学学生处第五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学生工作办公室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2011.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—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2013.07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重庆医科大学学生处第五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学生工作办公室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副主任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兼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梅苑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园区主任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201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.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—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2018.09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重庆医科大学学生处第五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学生工作办公室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主任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兼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梅苑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学生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园区主任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2018.09—2021.01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重庆医科大学学生处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公共卫生与管理学院学生工作办公室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2021.01—至今     重庆医科大学公共卫生与管理学院党委副书记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近三年本人获奖情况</w:t>
            </w:r>
          </w:p>
        </w:tc>
        <w:tc>
          <w:tcPr>
            <w:tcW w:w="8441" w:type="dxa"/>
            <w:gridSpan w:val="8"/>
            <w:noWrap w:val="0"/>
            <w:vAlign w:val="top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2019年  荣获“读懂中国”活动优秀辅导老师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2019年  荣获重庆医科大学公共卫生与管理学院优秀党务工作者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2019年  荣获重庆市事业单位年度考核优秀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  荣获重庆医科大学优秀党务工作者</w:t>
            </w:r>
          </w:p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近三年参加培训情况</w:t>
            </w:r>
          </w:p>
        </w:tc>
        <w:tc>
          <w:tcPr>
            <w:tcW w:w="844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2018.12  参加高校思想政治工作者能力提升线上线下一体化培训班（国家行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政学院）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2019.08  参加北森生涯BCC(生涯教练)培训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2019.12  参加北森生涯PCDF(生涯规划实战训练营)培训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2019.12  参加第七期普通高等学校辅导员网络培训班（国家行政学院）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2020.03  参加全国高校辅导员网络培训示范班（国家行政学院）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2020.04  参加第9期“辅导员心理辅导能力提升培训班”暨“心理辅导员职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 xml:space="preserve">         业技能培训项目”（高校心理健康教育专家指导委员会）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2020.11  参加习近平总书记教育重要论述讲义使用培训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2021.04  参加高校就业指导骨干教师线上训练营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2021.04  参加北森生涯GCT团体辅导认证培训班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8441" w:type="dxa"/>
            <w:gridSpan w:val="8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以上所填情况完全属实。</w:t>
            </w: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ind w:firstLine="5640" w:firstLineChars="2350"/>
              <w:rPr>
                <w:rFonts w:eastAsia="仿宋_GB2312"/>
                <w:sz w:val="24"/>
              </w:rPr>
            </w:pPr>
          </w:p>
          <w:p>
            <w:pPr>
              <w:ind w:firstLine="5880" w:firstLineChars="24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441" w:type="dxa"/>
            <w:gridSpan w:val="8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主管校领导签名：              学校党委盖章</w:t>
            </w:r>
          </w:p>
          <w:p>
            <w:pPr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</w:p>
          <w:p>
            <w:pPr>
              <w:ind w:right="480" w:firstLine="5160" w:firstLineChars="2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/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ascii="Times New Roman" w:hAnsi="Times New Roman" w:eastAsia="方正黑体_GBK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auto"/>
          <w:sz w:val="32"/>
          <w:szCs w:val="32"/>
        </w:rPr>
        <w:t>附件2</w:t>
      </w:r>
    </w:p>
    <w:p>
      <w:pPr>
        <w:spacing w:line="540" w:lineRule="exact"/>
        <w:jc w:val="center"/>
        <w:textAlignment w:val="baseline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事迹材料表</w:t>
      </w:r>
    </w:p>
    <w:tbl>
      <w:tblPr>
        <w:tblStyle w:val="3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4" w:hRule="atLeast"/>
        </w:trPr>
        <w:tc>
          <w:tcPr>
            <w:tcW w:w="9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在平凡中追求卓越，用心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val="en-US" w:eastAsia="zh-CN"/>
              </w:rPr>
              <w:t>引导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学生成长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新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新宋体"/>
                <w:color w:val="000000"/>
                <w:sz w:val="24"/>
                <w:szCs w:val="24"/>
                <w:lang w:val="en-US" w:eastAsia="zh-CN"/>
              </w:rPr>
              <w:t>---重庆市高校辅导员年度人物、重庆医科大学、陈敏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新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eastAsia="方正仿宋_GBK"/>
                <w:b/>
                <w:szCs w:val="21"/>
              </w:rPr>
            </w:pPr>
            <w:r>
              <w:rPr>
                <w:rFonts w:hint="eastAsia" w:eastAsia="方正仿宋_GBK"/>
                <w:b/>
                <w:szCs w:val="21"/>
                <w:lang w:val="en-US" w:eastAsia="zh-CN"/>
              </w:rPr>
              <w:t xml:space="preserve">    一、</w:t>
            </w:r>
            <w:r>
              <w:rPr>
                <w:rFonts w:eastAsia="方正仿宋_GBK"/>
                <w:b/>
                <w:szCs w:val="21"/>
              </w:rPr>
              <w:t>个人基本情况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陈敏，女，汉族，1979年10月出生，中共党员，管理学硕士，现任重庆医科大学公共卫生与管理学院学生工作办公室主任、学生党支部书记、缙云校区梅苑园区主任，负责全院8个专业1609名学生的成长成才服务工作，并担任卫生检验与检疫专业4个年级4个班级339名学生的辅导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方正仿宋_GBK"/>
                <w:b/>
                <w:szCs w:val="21"/>
                <w:lang w:val="en-US" w:eastAsia="zh-CN"/>
              </w:rPr>
              <w:t xml:space="preserve">    二、</w:t>
            </w:r>
            <w:r>
              <w:rPr>
                <w:rFonts w:eastAsia="方正仿宋_GBK"/>
                <w:b/>
                <w:szCs w:val="21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仿宋" w:hAnsi="仿宋" w:eastAsia="仿宋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2002年，陈敏放弃医生成为一名辅导员，至今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20年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了。在一线辅导员生涯中，她坚持立德树人，用生命影响生命，深入细致的做好学生价值引领和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生涯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发展辅导，和一群年轻人共鸣思想、碰撞心灵、交汇生命，她自己学习经历、用心、用爱来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引导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医学生成长成才，在平凡的岗位上践行着一位高校思想政治教育工作者的人生理想。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ascii="仿宋" w:hAnsi="仿宋" w:eastAsia="仿宋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</w:rPr>
              <w:t>大爱无言，做好学生成长成才的引路人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</w:rPr>
              <w:t xml:space="preserve">     1、以思想引领为主导，坚定青年学生理想信念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仿宋" w:hAnsi="仿宋" w:eastAsia="仿宋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在工作中，陈敏结合国家重要时事政治和“五四”“七一”“国庆”等重要节庆日及敏感时期、长假为重点，以专题宣讲会、团组织生活会、主题团日活动、主题班会等形式，强化形势政策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践行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社会主义核心价值观教育，防范敌对势力在意识形态领域和宗教。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陈敏勇于开拓思政教育新思路，2014年获得重庆医科大学党建研究课题《“三争一创”--如何践行大学生党员的社会主义核心价值观》资助1项，2013年参研重庆医科大学党建特色项目《“五星集结号”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学生党员发展后的教育和管理》，让优秀大学生党员发挥好带头作用，开展学生党员进团支部、学生党员讲师团、建立学生党员微信平台等特色活动，以党建促团建，搞好党团园地。2013年，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主持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重庆市人文社会科学研究项目（思想政治教育专项）----《园区化管理模式下学生工作的创新研究》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2015年获重庆市高校辅导员择优资助计划《医科院校践行社会主义核心价值观的途径研究》，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针对不同的年级在学生成长成才方面服务重点不同，开展一系列具体到位工作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大一的新生关注对大学的适应，大二的学生关注综合素质培养，大三学生关注专业能力和创新创业意识的培养，大四学生关注就业能力的培养，力争让每个学生感受到温暖。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ascii="仿宋" w:hAnsi="仿宋" w:eastAsia="仿宋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</w:rPr>
              <w:t>以</w:t>
            </w: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  <w:lang w:val="en-US" w:eastAsia="zh-CN"/>
              </w:rPr>
              <w:t>实践育人</w:t>
            </w: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</w:rPr>
              <w:t>为主攻，提升第二课堂育人实效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 xml:space="preserve">    为了进一步挖掘和发挥实践育人的优势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，陈敏组织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创建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公共卫生与管理学院学生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实践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活动三大品牌：“公共卫生健康宣传季”、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暑期“三下乡”实践团队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、“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卫知青协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”，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公卫学子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根据专业特色开展防癌宣传教育、结核病防治、食品安全教育、义诊等丰富多彩的活动，将实践活动与城乡社区市民学校活动结合起来，做到实践到社区、社区促实践，鼓励学生深入基层，在实践中充分了解社会，树立大学生服务社会，回报社会的责任感和使命感。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2019年学院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组织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0多支学生社会实践团队，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其中包括2支国家级团队；2020年抗疫期间，陈敏参与网上心理咨询，带领全院学生参与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参与社区预检分诊、外出返乡人员排查、健康宣传和核酸检测等工作，均彰显公卫人的热血与担当。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ascii="仿宋" w:hAnsi="仿宋" w:eastAsia="仿宋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</w:rPr>
              <w:t>以</w:t>
            </w: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  <w:lang w:val="en-US" w:eastAsia="zh-CN"/>
              </w:rPr>
              <w:t>科研育人</w:t>
            </w: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</w:rPr>
              <w:t>为主抓，促进学生全面成才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仿宋" w:hAnsi="仿宋" w:eastAsia="仿宋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陈敏非常重视发展大学生的创新创业意识和能力，依托“挑战杯”和“创青春”两项大赛，至今已经组织了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届公共卫生与管理学院“立志杯”学术作品大赛，每年向校级比赛输送大量优秀作品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累计市级以上获奖60多项，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在竞赛中培养青年学生创新创业意识，提高青年学生科研能力和水平，进一步提升青年学生在创新创业方面的竞争力。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2021年启动“公卫菁英”计划，选拔本科学生拔尖人才，助力学院学科发展和专业建设。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ascii="仿宋" w:hAnsi="仿宋" w:eastAsia="仿宋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</w:rPr>
              <w:t>润物细无声，夯实日常管理基础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ascii="仿宋" w:hAnsi="仿宋" w:eastAsia="仿宋" w:cs="新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1"/>
                <w:szCs w:val="21"/>
              </w:rPr>
              <w:t>1、用心关爱，做好学生的贴心人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仿宋" w:hAnsi="仿宋" w:eastAsia="仿宋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</w:rPr>
              <w:t>了解学生的基本情况是作为辅导员工作的基础，陈敏创新性的在大一新生中开展“三问”活动，“为什么来上大学？”、“将来要做什么？”、“怎么度过大学生活？”，稳定新生的专业思想；班级采取月总结制度和主题班会，了解班级存在的问题，及时解决；开展“我要上讲台”，为同学们开设了展示能力才华的平台；开展安全教育培训，加强学生安全意识，及时把握学生中存在的问题；广泛开展学风建设，每学期各班总结学习情况制作《学习白皮书》，学习经验交流会、诚信迎考会等常态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1"/>
                <w:szCs w:val="21"/>
              </w:rPr>
              <w:t xml:space="preserve"> 2、关注心理，引导学生健康成长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医学生的学业繁重，为了保证学生心身健康成长，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陈敏组建学院二级心理辅导站——青音室，成为学校首批创建单位。利用学院资源，组建“心理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·F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”团队8年，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帮助不同学生群体开展心理团辅，组织多形式的心理健康学生教育活动。注重学生的日常心理筛查工作和学生心理健康档案的管理，做到“早发现、早引导、早避免”。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 xml:space="preserve"> 3、改变观念，提高学生就业能力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为了帮助学生建立合理实际的就业期望值，陈敏在低年级阶段注重职业发展意识培养，高年级阶段注重就业技能培养，通过院系见面会、专业讲座、同辈教育的就业帮扶小组等多种形式积极引导学生及家长改变观念，准确定位，积极主动到基层就业创业。对于就业困难的学生，采取一对一的帮扶，推荐工作单位，修改求职简历，指导面试技巧，顺利帮助学生就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 xml:space="preserve">    （三）勤学巧思，促进辅导员职业化发展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 xml:space="preserve">  1、内外兼修，科学发展。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“欲给学生一滴水，老师要有一桶水”。陈敏深知要做好一名辅导员，只有永无止境的学习，努力充实自己持续发展。她先后参加了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0多次各类培训，其中包括第91期全国高校辅导员骨干培训班、全国高校辅导员骨干专题培训班（院系特色教育管理工作专题）、第106期全国高校辅导员骨干培训班、重庆市首届就业创业指导骨干教师培训班、重庆市高校心理健康教育骨干教师培训班等等,获得了心理咨询师资格证、高校教师资格证、全球职业规划师、生涯规划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国际创业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等资格证书。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 xml:space="preserve"> 2、教学相长，收获颇丰。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为了更好的服务学生，学以致用，陈敏担任了学校心理咨询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职业生涯规划和就业指导咨询工作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，承担了两门必修课程的教学工作，撰写了《当代大学生信仰问题的研究》、《网络时代医学生思想政治工作的创新探讨》等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篇文章（其中核心期刊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篇），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主持</w:t>
            </w:r>
            <w:r>
              <w:rPr>
                <w:rFonts w:hint="eastAsia" w:ascii="仿宋" w:hAnsi="仿宋" w:eastAsia="仿宋" w:cs="新宋体"/>
                <w:color w:val="000000"/>
                <w:sz w:val="21"/>
                <w:szCs w:val="21"/>
                <w:lang w:val="en-US" w:eastAsia="zh-CN"/>
              </w:rPr>
              <w:t>重庆市高等教育改革研究项目《基于案例教学法的&lt;大学生生命教育&gt;在线课程的构建及学习模式的研究》等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课题4项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，参编了《大学生心理健康教育教程》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、《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大学生职业生涯规划与就业指导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部教材。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校级以上奖励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2004年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荣获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重庆医科大学优秀共青团干部  （共青团重庆医科大学委员会）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2005年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荣获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重庆医科大学年终考核优秀    （重庆医科大学）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2006年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荣获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重庆市优秀共青团干部        （共青团重庆市委员会）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2006年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荣获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重庆医科大学优秀共青团干部  （共青团重庆医科大学委员会）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2009年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荣获重庆市事业单位年度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考核优秀    （重庆医科大学）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2010年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荣获重庆市事业单位年度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考核优秀    （重庆医科大学）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2011年  《高等学校家庭经济困难学生认定工作的思考》获重庆市高校学生工作优秀论文三等奖 （重庆市教育委员会）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2011年  “我心中的低碳生活”重庆市学生征文大赛指导教师优秀奖（重庆市科学技术委员会）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2011年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荣获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重庆市暑期“三下乡”社会实践先进个人 （共青团重庆市委）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2012年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荣获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重庆医科大学社会实践先进个人（重庆医科大学）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2013年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第八届“挑战杯”中国大学生创业计划竞赛重庆赛区先进个人（共青团重庆市委）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2014年   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荣获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重庆市高校辅导员全员培训中级班优秀学员（重庆市教育委员会）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5年   荣获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重庆市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高校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优秀辅导员（重庆市教育委员会）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2015年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荣获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全国青少年井冈山革命传统教育基地总550期培训班暨2015年“井冈情·中国梦”大学生暑期实践季专项行动（第四期）“优秀带队教师”（全国青少年井冈山革命传统教育基地管理中心办公室）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2015年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入选重庆市高校辅导员择优资助计划（重庆市教育委员会）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2018年  荣获第十届全国高校辅导员年度人物入围奖（教育部）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2019年  荣获“读懂中国”活动优秀辅导老师（重庆市教委关心下一代工作委员会）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2019年  荣获重庆市事业单位年度考核优秀（重庆医科大学）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2020年  荣获重庆医科大学优秀党务工作者（重庆医科大学）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后记：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师者，所以传道、授业、解惑也。医者，拯民于水火之中，治患于衽席之上。放弃专业投身辅导员工作，她从未后悔过，用默默耕耘与无私奉献书写着一名优秀辅导员的最佳注脚。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A5D6D"/>
    <w:multiLevelType w:val="singleLevel"/>
    <w:tmpl w:val="550A5D6D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50A5F74"/>
    <w:multiLevelType w:val="singleLevel"/>
    <w:tmpl w:val="550A5F7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50A7CC9"/>
    <w:multiLevelType w:val="singleLevel"/>
    <w:tmpl w:val="550A7CC9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60787812"/>
    <w:multiLevelType w:val="singleLevel"/>
    <w:tmpl w:val="6078781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A5FF4"/>
    <w:rsid w:val="570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666666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2021-04-19T08:00:00Z</dcterms:created>
  <dc:creator>錦 涛</dc:creator>
  <cp:lastModifiedBy>錦 涛</cp:lastModifiedBy>
  <dcterms:modified xsi:type="dcterms:W3CDTF">2021-04-19T08:01:14Z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236C6A25141C4501B43BB8377315C9F5</vt:lpwstr>
  </property>
</Properties>
</file>